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rFonts w:ascii="Times New Roman" w:hAnsi="Times New Roman"/>
        </w:rPr>
      </w:pPr>
      <w:r>
        <w:rPr>
          <w:rFonts w:ascii="Times New Roman" w:hAnsi="Times New Roman"/>
        </w:rPr>
      </w:r>
    </w:p>
    <w:p>
      <w:pPr>
        <w:pStyle w:val="Normal"/>
        <w:bidi w:val="0"/>
        <w:jc w:val="center"/>
        <w:rPr>
          <w:rFonts w:ascii="Times New Roman" w:hAnsi="Times New Roman"/>
          <w:b/>
          <w:b/>
          <w:bCs/>
        </w:rPr>
      </w:pPr>
      <w:r>
        <w:rPr>
          <w:rFonts w:ascii="Times New Roman" w:hAnsi="Times New Roman"/>
          <w:b/>
          <w:bCs/>
        </w:rPr>
        <w:t>QUO WARRANTO</w:t>
      </w:r>
    </w:p>
    <w:p>
      <w:pPr>
        <w:pStyle w:val="Normal"/>
        <w:bidi w:val="0"/>
        <w:jc w:val="center"/>
        <w:rPr>
          <w:b w:val="false"/>
          <w:b w:val="false"/>
          <w:bCs w:val="false"/>
        </w:rPr>
      </w:pPr>
      <w:r>
        <w:rPr>
          <w:rFonts w:ascii="Times New Roman" w:hAnsi="Times New Roman"/>
          <w:b w:val="false"/>
          <w:bCs w:val="false"/>
        </w:rPr>
        <w:t>(</w:t>
      </w:r>
      <w:r>
        <w:rPr>
          <w:rFonts w:ascii="Times New Roman" w:hAnsi="Times New Roman"/>
          <w:b w:val="false"/>
          <w:bCs w:val="false"/>
        </w:rPr>
        <w:t>Quo Warranto</w:t>
      </w:r>
      <w:r>
        <w:rPr>
          <w:rFonts w:ascii="Times New Roman" w:hAnsi="Times New Roman"/>
          <w:b w:val="false"/>
          <w:bCs w:val="false"/>
        </w:rPr>
        <w:t>)</w:t>
      </w:r>
    </w:p>
    <w:p>
      <w:pPr>
        <w:pStyle w:val="Normal"/>
        <w:bidi w:val="0"/>
        <w:jc w:val="start"/>
        <w:rPr>
          <w:rFonts w:ascii="Times New Roman" w:hAnsi="Times New Roman"/>
        </w:rPr>
      </w:pPr>
      <w:r>
        <w:rPr>
          <w:rFonts w:ascii="Times New Roman" w:hAnsi="Times New Roman"/>
        </w:rPr>
      </w:r>
    </w:p>
    <w:p>
      <w:pPr>
        <w:pStyle w:val="Normal"/>
        <w:bidi w:val="0"/>
        <w:jc w:val="start"/>
        <w:rPr>
          <w:rFonts w:ascii="Times New Roman" w:hAnsi="Times New Roman"/>
        </w:rPr>
      </w:pPr>
      <w:r>
        <w:rPr>
          <w:rFonts w:ascii="Times New Roman" w:hAnsi="Times New Roman"/>
        </w:rPr>
        <w:t xml:space="preserve">Inquiry upon Senators for Constitutional Fidelity </w:t>
        <w:br/>
        <w:t xml:space="preserve">Re: </w:t>
      </w:r>
      <w:r>
        <w:rPr>
          <w:rFonts w:ascii="Times New Roman" w:hAnsi="Times New Roman"/>
          <w:color w:val="C9211E"/>
        </w:rPr>
        <w:t xml:space="preserve">Export Control Amendment (Ending Live Sheep Exports by Sea) Bill 2024 </w:t>
      </w:r>
      <w:r>
        <w:rPr>
          <w:rFonts w:ascii="Times New Roman" w:hAnsi="Times New Roman"/>
          <w:color w:val="C9211E"/>
        </w:rPr>
        <w:t>[replace this Bill with the</w:t>
      </w:r>
      <w:r>
        <w:rPr>
          <w:rFonts w:ascii="Times New Roman" w:hAnsi="Times New Roman"/>
          <w:color w:val="C9211E"/>
        </w:rPr>
        <w:t xml:space="preserve"> Bill </w:t>
      </w:r>
      <w:r>
        <w:rPr>
          <w:rFonts w:ascii="Times New Roman" w:hAnsi="Times New Roman"/>
          <w:color w:val="C9211E"/>
        </w:rPr>
        <w:t>in question and it’s year]</w:t>
      </w:r>
      <w:r>
        <w:rPr>
          <w:rFonts w:ascii="Times New Roman" w:hAnsi="Times New Roman"/>
          <w:color w:val="C9211E"/>
        </w:rPr>
        <w:t xml:space="preserve"> </w:t>
      </w:r>
    </w:p>
    <w:p>
      <w:pPr>
        <w:pStyle w:val="Normal"/>
        <w:bidi w:val="0"/>
        <w:jc w:val="start"/>
        <w:rPr>
          <w:rFonts w:ascii="Times New Roman" w:hAnsi="Times New Roman"/>
        </w:rPr>
      </w:pPr>
      <w:r>
        <w:rPr>
          <w:rFonts w:ascii="Times New Roman" w:hAnsi="Times New Roman"/>
        </w:rPr>
        <w:br/>
        <w:t xml:space="preserve">To: Senate Clerk, and all Senators, </w:t>
      </w:r>
    </w:p>
    <w:p>
      <w:pPr>
        <w:pStyle w:val="Normal"/>
        <w:bidi w:val="0"/>
        <w:jc w:val="start"/>
        <w:rPr>
          <w:rFonts w:ascii="Times New Roman" w:hAnsi="Times New Roman"/>
        </w:rPr>
      </w:pPr>
      <w:r>
        <w:rPr>
          <w:rFonts w:ascii="Times New Roman" w:hAnsi="Times New Roman"/>
        </w:rPr>
        <w:t xml:space="preserve">This notice concerns the fidelity of the houses of the federal parliament under the nomenclature, </w:t>
      </w:r>
      <w:r>
        <w:rPr>
          <w:rFonts w:ascii="Times New Roman" w:hAnsi="Times New Roman"/>
          <w:i/>
          <w:iCs/>
        </w:rPr>
        <w:t>‘Parliament of Australia’</w:t>
      </w:r>
      <w:r>
        <w:rPr>
          <w:rFonts w:ascii="Times New Roman" w:hAnsi="Times New Roman"/>
        </w:rPr>
        <w:t xml:space="preserve">, in passing legislation, and upon the law-making power otherwise reserved to the Parliament of the Commonwealth, a Parliament established pursuant to the foundation law of 1900 and establishing the body politic, Commonwealth of Australia, under the Crown; </w:t>
      </w:r>
    </w:p>
    <w:p>
      <w:pPr>
        <w:pStyle w:val="Normal"/>
        <w:bidi w:val="0"/>
        <w:ind w:start="709" w:hanging="0"/>
        <w:jc w:val="start"/>
        <w:rPr>
          <w:rFonts w:ascii="Times New Roman" w:hAnsi="Times New Roman"/>
        </w:rPr>
      </w:pPr>
      <w:r>
        <w:rPr>
          <w:rFonts w:ascii="Times New Roman" w:hAnsi="Times New Roman"/>
          <w:i/>
          <w:iCs/>
        </w:rPr>
        <w:t xml:space="preserve">Preamble - “WHEREAS the people, have agreed to unite in one </w:t>
      </w:r>
      <w:r>
        <w:rPr>
          <w:rFonts w:ascii="Times New Roman" w:hAnsi="Times New Roman"/>
          <w:i/>
          <w:iCs/>
          <w:u w:val="single"/>
        </w:rPr>
        <w:t>indissoluble Federal Commonwealth under the Crown of the United Kingdom</w:t>
      </w:r>
      <w:r>
        <w:rPr>
          <w:rFonts w:ascii="Times New Roman" w:hAnsi="Times New Roman"/>
          <w:i/>
          <w:iCs/>
        </w:rPr>
        <w:t xml:space="preserve"> “...., “and under the Constitution hereby established.” </w:t>
      </w:r>
      <w:r>
        <w:rPr>
          <w:rFonts w:ascii="Times New Roman" w:hAnsi="Times New Roman"/>
        </w:rPr>
        <w:br/>
        <w:t xml:space="preserve">(From the Commonwealth of Australia Constitution Act 1900 (UK) (“The Constitution”) underline added for emphasis) </w:t>
      </w:r>
    </w:p>
    <w:p>
      <w:pPr>
        <w:pStyle w:val="Normal"/>
        <w:bidi w:val="0"/>
        <w:jc w:val="start"/>
        <w:rPr>
          <w:rFonts w:ascii="Times New Roman" w:hAnsi="Times New Roman"/>
        </w:rPr>
      </w:pPr>
      <w:r>
        <w:rPr>
          <w:rFonts w:ascii="Times New Roman" w:hAnsi="Times New Roman"/>
        </w:rPr>
        <w:t xml:space="preserve">The high-contracting parties, being the people of the Commonwealth, undoubtedly, are the source of -the charter's powers; </w:t>
      </w:r>
    </w:p>
    <w:p>
      <w:pPr>
        <w:pStyle w:val="Normal"/>
        <w:bidi w:val="0"/>
        <w:ind w:start="709" w:hanging="0"/>
        <w:jc w:val="start"/>
        <w:rPr>
          <w:rFonts w:ascii="Times New Roman" w:hAnsi="Times New Roman"/>
        </w:rPr>
      </w:pPr>
      <w:r>
        <w:rPr>
          <w:rFonts w:ascii="Times New Roman" w:hAnsi="Times New Roman"/>
          <w:i/>
          <w:iCs/>
        </w:rPr>
        <w:t>“</w:t>
      </w:r>
      <w:r>
        <w:rPr>
          <w:rFonts w:ascii="Times New Roman" w:hAnsi="Times New Roman"/>
          <w:i/>
          <w:iCs/>
        </w:rPr>
        <w:t>2.) As a Constitution — Though an Act of Parliament, this Constitution is an Act of a very special character. It is a constitutional charter for a great and practically self-governing people; framed by them, accepted by them, amendable by them, and interpretable by them”.</w:t>
      </w:r>
      <w:r>
        <w:rPr>
          <w:rFonts w:ascii="Times New Roman" w:hAnsi="Times New Roman"/>
          <w:i w:val="false"/>
          <w:iCs w:val="false"/>
        </w:rPr>
        <w:t xml:space="preserve"> (Annotated Constitution — Quick &amp; Garran p.793) </w:t>
      </w:r>
    </w:p>
    <w:p>
      <w:pPr>
        <w:pStyle w:val="Normal"/>
        <w:bidi w:val="0"/>
        <w:jc w:val="start"/>
        <w:rPr>
          <w:rFonts w:ascii="Times New Roman" w:hAnsi="Times New Roman"/>
        </w:rPr>
      </w:pPr>
      <w:r>
        <w:rPr>
          <w:rFonts w:ascii="Times New Roman" w:hAnsi="Times New Roman"/>
        </w:rPr>
        <w:t xml:space="preserve">This federation of the former several Colonies of Australia, at 1900, was the creation of an indissoluble structure, as an eternal contract between the people of the several colonies; </w:t>
      </w:r>
    </w:p>
    <w:p>
      <w:pPr>
        <w:pStyle w:val="Normal"/>
        <w:bidi w:val="0"/>
        <w:ind w:start="709" w:hanging="0"/>
        <w:jc w:val="start"/>
        <w:rPr>
          <w:rFonts w:ascii="Times New Roman" w:hAnsi="Times New Roman"/>
          <w:i/>
          <w:i/>
          <w:iCs/>
        </w:rPr>
      </w:pPr>
      <w:r>
        <w:rPr>
          <w:rFonts w:ascii="Times New Roman" w:hAnsi="Times New Roman"/>
          <w:i/>
          <w:iCs/>
        </w:rPr>
        <w:t>“</w:t>
      </w:r>
      <w:r>
        <w:rPr>
          <w:rFonts w:ascii="Times New Roman" w:hAnsi="Times New Roman"/>
          <w:i/>
          <w:iCs/>
        </w:rPr>
        <w:t xml:space="preserve">The instrument was not intended to provide merely for the exigencies of a few years but wad to endure through a long lapse of ages, the events of which were locked up in the inscrutable purposes of Providence”. </w:t>
      </w:r>
    </w:p>
    <w:p>
      <w:pPr>
        <w:pStyle w:val="Normal"/>
        <w:bidi w:val="0"/>
        <w:ind w:start="709" w:hanging="0"/>
        <w:jc w:val="start"/>
        <w:rPr>
          <w:rFonts w:ascii="Times New Roman" w:hAnsi="Times New Roman"/>
        </w:rPr>
      </w:pPr>
      <w:r>
        <w:rPr>
          <w:rFonts w:ascii="Times New Roman" w:hAnsi="Times New Roman"/>
        </w:rPr>
        <w:t xml:space="preserve">(Annotated Constitution — Quick &amp; Garran p.793) </w:t>
      </w:r>
    </w:p>
    <w:p>
      <w:pPr>
        <w:pStyle w:val="Normal"/>
        <w:bidi w:val="0"/>
        <w:jc w:val="start"/>
        <w:rPr>
          <w:rFonts w:ascii="Times New Roman" w:hAnsi="Times New Roman"/>
        </w:rPr>
      </w:pPr>
      <w:r>
        <w:rPr>
          <w:rFonts w:ascii="Times New Roman" w:hAnsi="Times New Roman"/>
        </w:rPr>
        <w:t xml:space="preserve">Of immediate interest, in restricting primary industry and trade, is the passage of the above-referenced bill from the lower house, that the senate is to review for approval for the governor-general in giving the King's Assent to become law; </w:t>
      </w:r>
    </w:p>
    <w:p>
      <w:pPr>
        <w:pStyle w:val="Normal"/>
        <w:bidi w:val="0"/>
        <w:ind w:start="709" w:hanging="0"/>
        <w:jc w:val="start"/>
        <w:rPr>
          <w:rFonts w:ascii="Times New Roman" w:hAnsi="Times New Roman"/>
        </w:rPr>
      </w:pPr>
      <w:r>
        <w:rPr>
          <w:rFonts w:ascii="Times New Roman" w:hAnsi="Times New Roman"/>
          <w:i/>
          <w:iCs/>
        </w:rPr>
        <w:t>“</w:t>
      </w:r>
      <w:r>
        <w:rPr>
          <w:rFonts w:ascii="Times New Roman" w:hAnsi="Times New Roman"/>
          <w:i/>
          <w:iCs/>
        </w:rPr>
        <w:t xml:space="preserve">S.2 - A Governor-General appointed by the Queen shall be Her Majesty’s representative in the Commonwealth”,…. </w:t>
      </w:r>
      <w:r>
        <w:rPr>
          <w:rFonts w:ascii="Times New Roman" w:hAnsi="Times New Roman"/>
        </w:rPr>
        <w:t xml:space="preserve">  (the Constitution) </w:t>
      </w:r>
    </w:p>
    <w:p>
      <w:pPr>
        <w:pStyle w:val="Normal"/>
        <w:bidi w:val="0"/>
        <w:jc w:val="start"/>
        <w:rPr>
          <w:rFonts w:ascii="Times New Roman" w:hAnsi="Times New Roman"/>
        </w:rPr>
      </w:pPr>
      <w:r>
        <w:rPr>
          <w:rFonts w:ascii="Times New Roman" w:hAnsi="Times New Roman"/>
        </w:rPr>
        <w:t xml:space="preserve">The office of the Queen, representative of the Crown is strictly that of the King/Queen of the United Kingdom in every reference to the Queen in the Constitution; </w:t>
      </w:r>
    </w:p>
    <w:p>
      <w:pPr>
        <w:pStyle w:val="Normal"/>
        <w:bidi w:val="0"/>
        <w:ind w:start="709" w:hanging="0"/>
        <w:jc w:val="start"/>
        <w:rPr>
          <w:rFonts w:ascii="Times New Roman" w:hAnsi="Times New Roman"/>
        </w:rPr>
      </w:pPr>
      <w:r>
        <w:rPr>
          <w:rFonts w:ascii="Times New Roman" w:hAnsi="Times New Roman"/>
          <w:i/>
          <w:iCs/>
        </w:rPr>
        <w:t>“</w:t>
      </w:r>
      <w:r>
        <w:rPr>
          <w:rFonts w:ascii="Times New Roman" w:hAnsi="Times New Roman"/>
          <w:i/>
          <w:iCs/>
        </w:rPr>
        <w:t xml:space="preserve">The provisions of this Act referring to the Queen </w:t>
      </w:r>
      <w:r>
        <w:rPr>
          <w:rFonts w:ascii="Times New Roman" w:hAnsi="Times New Roman"/>
          <w:i/>
          <w:iCs/>
          <w:u w:val="single"/>
        </w:rPr>
        <w:t>shall extend</w:t>
      </w:r>
      <w:r>
        <w:rPr>
          <w:rFonts w:ascii="Times New Roman" w:hAnsi="Times New Roman"/>
          <w:i/>
          <w:iCs/>
        </w:rPr>
        <w:t xml:space="preserve"> to Her Majesty's heirs and successors in the </w:t>
      </w:r>
      <w:r>
        <w:rPr>
          <w:rFonts w:ascii="Times New Roman" w:hAnsi="Times New Roman"/>
          <w:i/>
          <w:iCs/>
          <w:u w:val="single"/>
        </w:rPr>
        <w:t>sovereignty of the United Kingdom”.</w:t>
      </w:r>
      <w:r>
        <w:rPr>
          <w:rFonts w:ascii="Times New Roman" w:hAnsi="Times New Roman"/>
          <w:i/>
          <w:iCs/>
        </w:rPr>
        <w:t xml:space="preserve"> </w:t>
      </w:r>
      <w:r>
        <w:rPr>
          <w:rFonts w:ascii="Times New Roman" w:hAnsi="Times New Roman"/>
        </w:rPr>
        <w:br/>
        <w:t xml:space="preserve">(From the Constitution, as underlined for emphasis) </w:t>
      </w:r>
    </w:p>
    <w:p>
      <w:pPr>
        <w:pStyle w:val="Normal"/>
        <w:bidi w:val="0"/>
        <w:jc w:val="start"/>
        <w:rPr>
          <w:rFonts w:ascii="Times New Roman" w:hAnsi="Times New Roman"/>
        </w:rPr>
      </w:pPr>
      <w:r>
        <w:rPr>
          <w:rFonts w:ascii="Times New Roman" w:hAnsi="Times New Roman"/>
        </w:rPr>
        <w:t xml:space="preserve">The primary house-keeping issue before us, is with regards to the law-making powers of the houses in conforming to the Commonwealth jurisdiction, established 1900, and fidelity to the Crown; </w:t>
      </w:r>
    </w:p>
    <w:p>
      <w:pPr>
        <w:pStyle w:val="Normal"/>
        <w:bidi w:val="0"/>
        <w:ind w:start="709" w:hanging="0"/>
        <w:jc w:val="start"/>
        <w:rPr>
          <w:rFonts w:ascii="Times New Roman" w:hAnsi="Times New Roman"/>
        </w:rPr>
      </w:pPr>
      <w:r>
        <w:rPr>
          <w:rFonts w:ascii="Times New Roman" w:hAnsi="Times New Roman"/>
          <w:i/>
          <w:iCs/>
        </w:rPr>
        <w:t>“</w:t>
      </w:r>
      <w:r>
        <w:rPr>
          <w:rFonts w:ascii="Times New Roman" w:hAnsi="Times New Roman"/>
          <w:i/>
          <w:iCs/>
        </w:rPr>
        <w:t xml:space="preserve">S.1 - The legislative power of the Commonwealth shall be vested in a Federal Parliament, which </w:t>
      </w:r>
      <w:r>
        <w:rPr>
          <w:rFonts w:ascii="Times New Roman" w:hAnsi="Times New Roman"/>
          <w:i/>
          <w:iCs/>
          <w:u w:val="single"/>
        </w:rPr>
        <w:t>shall consist of the Queen</w:t>
      </w:r>
      <w:r>
        <w:rPr>
          <w:rFonts w:ascii="Times New Roman" w:hAnsi="Times New Roman"/>
          <w:i/>
          <w:iCs/>
        </w:rPr>
        <w:t>, a Senate, and a House of Representatives, and which is hereinafter called "The Parliament,” or “</w:t>
      </w:r>
      <w:r>
        <w:rPr>
          <w:rFonts w:ascii="Times New Roman" w:hAnsi="Times New Roman"/>
          <w:i/>
          <w:iCs/>
          <w:u w:val="single"/>
        </w:rPr>
        <w:t>The Parliament of the Commonwealth</w:t>
      </w:r>
      <w:r>
        <w:rPr>
          <w:rFonts w:ascii="Times New Roman" w:hAnsi="Times New Roman"/>
          <w:i/>
          <w:iCs/>
        </w:rPr>
        <w:t xml:space="preserve">.” </w:t>
      </w:r>
      <w:r>
        <w:rPr>
          <w:rFonts w:ascii="Times New Roman" w:hAnsi="Times New Roman"/>
        </w:rPr>
        <w:br/>
        <w:t xml:space="preserve">(From the Constitution, underlined for emphasis) </w:t>
      </w:r>
    </w:p>
    <w:p>
      <w:pPr>
        <w:pStyle w:val="Normal"/>
        <w:bidi w:val="0"/>
        <w:ind w:start="0" w:hanging="0"/>
        <w:jc w:val="start"/>
        <w:rPr>
          <w:rFonts w:ascii="Times New Roman" w:hAnsi="Times New Roman"/>
        </w:rPr>
      </w:pPr>
      <w:r>
        <w:rPr>
          <w:rFonts w:ascii="Times New Roman" w:hAnsi="Times New Roman"/>
        </w:rPr>
      </w:r>
    </w:p>
    <w:p>
      <w:pPr>
        <w:pStyle w:val="Normal"/>
        <w:bidi w:val="0"/>
        <w:ind w:start="0" w:hanging="0"/>
        <w:jc w:val="start"/>
        <w:rPr>
          <w:rFonts w:ascii="Times New Roman" w:hAnsi="Times New Roman"/>
        </w:rPr>
      </w:pPr>
      <w:r>
        <w:rPr>
          <w:rFonts w:ascii="Times New Roman" w:hAnsi="Times New Roman"/>
        </w:rPr>
        <w:t xml:space="preserve">To this fidelity the use of the current name, </w:t>
      </w:r>
      <w:r>
        <w:rPr>
          <w:rFonts w:ascii="Times New Roman" w:hAnsi="Times New Roman"/>
          <w:i/>
          <w:iCs/>
        </w:rPr>
        <w:t>‘Parliament ofAustralia’</w:t>
      </w:r>
      <w:r>
        <w:rPr>
          <w:rFonts w:ascii="Times New Roman" w:hAnsi="Times New Roman"/>
        </w:rPr>
        <w:t xml:space="preserve">, is of utmost concern as no reference or recognition to a parliament is found in the Constitution, other than that of the 'The </w:t>
      </w:r>
      <w:r>
        <w:rPr>
          <w:rFonts w:ascii="Times New Roman" w:hAnsi="Times New Roman"/>
          <w:i/>
          <w:iCs/>
        </w:rPr>
        <w:t>‘Parliament of the Commonwealth’</w:t>
      </w:r>
      <w:r>
        <w:rPr>
          <w:rFonts w:ascii="Times New Roman" w:hAnsi="Times New Roman"/>
        </w:rPr>
        <w:t xml:space="preserve"> (The Parliament), constitutionally protected by s.128; and as the High Court of Australia made its opposition to the use of this novel structure known in the Australian Law Journal, Vol. 48 of 1974, p.2; </w:t>
      </w:r>
    </w:p>
    <w:p>
      <w:pPr>
        <w:pStyle w:val="Normal"/>
        <w:bidi w:val="0"/>
        <w:ind w:start="709" w:hanging="0"/>
        <w:jc w:val="start"/>
        <w:rPr>
          <w:rFonts w:ascii="Times New Roman" w:hAnsi="Times New Roman"/>
          <w:i/>
          <w:i/>
          <w:iCs/>
        </w:rPr>
      </w:pPr>
      <w:r>
        <w:rPr>
          <w:rFonts w:ascii="Times New Roman" w:hAnsi="Times New Roman"/>
          <w:i/>
          <w:iCs/>
        </w:rPr>
        <w:t>“</w:t>
      </w:r>
      <w:r>
        <w:rPr>
          <w:rFonts w:ascii="Times New Roman" w:hAnsi="Times New Roman"/>
          <w:i/>
          <w:iCs/>
        </w:rPr>
        <w:t xml:space="preserve">in proceedings in the High Court, the Commonwealth could not appear as plaintiff or defendant on the record as "Australia" </w:t>
      </w:r>
      <w:r>
        <w:rPr>
          <w:rFonts w:ascii="Times New Roman" w:hAnsi="Times New Roman"/>
          <w:i/>
          <w:iCs/>
          <w:u w:val="single"/>
        </w:rPr>
        <w:t>but only as the "Commonwealth of Australia</w:t>
      </w:r>
      <w:r>
        <w:rPr>
          <w:rFonts w:ascii="Times New Roman" w:hAnsi="Times New Roman"/>
          <w:i/>
          <w:iCs/>
        </w:rPr>
        <w:t xml:space="preserve">". The High Court, itself a creature of the Constitution, would naturally insist upon the Commonwealth be given its formal name and style under the Constitution.” </w:t>
      </w:r>
    </w:p>
    <w:p>
      <w:pPr>
        <w:pStyle w:val="Normal"/>
        <w:bidi w:val="0"/>
        <w:ind w:start="709" w:hanging="0"/>
        <w:jc w:val="start"/>
        <w:rPr>
          <w:rFonts w:ascii="Times New Roman" w:hAnsi="Times New Roman"/>
        </w:rPr>
      </w:pPr>
      <w:r>
        <w:rPr>
          <w:rFonts w:ascii="Times New Roman" w:hAnsi="Times New Roman"/>
        </w:rPr>
        <w:t xml:space="preserve">(underlined for emphasis) </w:t>
      </w:r>
    </w:p>
    <w:p>
      <w:pPr>
        <w:pStyle w:val="Normal"/>
        <w:bidi w:val="0"/>
        <w:ind w:start="0" w:hanging="0"/>
        <w:jc w:val="start"/>
        <w:rPr>
          <w:rFonts w:ascii="Times New Roman" w:hAnsi="Times New Roman"/>
        </w:rPr>
      </w:pPr>
      <w:r>
        <w:rPr>
          <w:rFonts w:ascii="Times New Roman" w:hAnsi="Times New Roman"/>
        </w:rPr>
        <w:t xml:space="preserve">Unless it can be otherwise demonstrated that the current houses of the ‘Parliament of Australia’ is a jurisdiction (juris dictio) of law-making authority for the Commonwealth, constitutionally referenced, it may be taken that such houses are pretending power in contempt of the Constitution of the Commonwealth, to a Parliament and Crown; </w:t>
      </w:r>
    </w:p>
    <w:p>
      <w:pPr>
        <w:pStyle w:val="Normal"/>
        <w:bidi w:val="0"/>
        <w:ind w:start="709" w:hanging="0"/>
        <w:jc w:val="start"/>
        <w:rPr>
          <w:rFonts w:ascii="Times New Roman" w:hAnsi="Times New Roman"/>
          <w:i/>
          <w:i/>
          <w:iCs/>
        </w:rPr>
      </w:pPr>
      <w:r>
        <w:rPr>
          <w:rFonts w:ascii="Times New Roman" w:hAnsi="Times New Roman"/>
          <w:i/>
          <w:iCs/>
        </w:rPr>
        <w:t>“</w:t>
      </w:r>
      <w:r>
        <w:rPr>
          <w:rFonts w:ascii="Times New Roman" w:hAnsi="Times New Roman"/>
          <w:i/>
          <w:iCs/>
        </w:rPr>
        <w:t xml:space="preserve">Cl.5 - </w:t>
      </w:r>
      <w:r>
        <w:rPr>
          <w:rFonts w:ascii="Times New Roman" w:hAnsi="Times New Roman"/>
          <w:i/>
          <w:iCs/>
          <w:u w:val="single"/>
        </w:rPr>
        <w:t>This Act</w:t>
      </w:r>
      <w:r>
        <w:rPr>
          <w:rFonts w:ascii="Times New Roman" w:hAnsi="Times New Roman"/>
          <w:i/>
          <w:iCs/>
        </w:rPr>
        <w:t xml:space="preserve">, and all laws made by the Parliament of the Commonwealth under the Constitution, </w:t>
      </w:r>
      <w:r>
        <w:rPr>
          <w:rFonts w:ascii="Times New Roman" w:hAnsi="Times New Roman"/>
          <w:i/>
          <w:iCs/>
          <w:u w:val="single"/>
        </w:rPr>
        <w:t>shall be binding</w:t>
      </w:r>
      <w:r>
        <w:rPr>
          <w:rFonts w:ascii="Times New Roman" w:hAnsi="Times New Roman"/>
          <w:i/>
          <w:iCs/>
        </w:rPr>
        <w:t xml:space="preserve"> on the courts, judges, and people of every State and of every part of the Commonwealth, .....” </w:t>
      </w:r>
    </w:p>
    <w:p>
      <w:pPr>
        <w:pStyle w:val="Normal"/>
        <w:bidi w:val="0"/>
        <w:ind w:start="709" w:hanging="0"/>
        <w:jc w:val="start"/>
        <w:rPr>
          <w:rFonts w:ascii="Times New Roman" w:hAnsi="Times New Roman"/>
        </w:rPr>
      </w:pPr>
      <w:r>
        <w:rPr>
          <w:rFonts w:ascii="Times New Roman" w:hAnsi="Times New Roman"/>
        </w:rPr>
        <w:t xml:space="preserve">(underlined for emphasis) </w:t>
      </w:r>
    </w:p>
    <w:p>
      <w:pPr>
        <w:pStyle w:val="Normal"/>
        <w:bidi w:val="0"/>
        <w:ind w:start="0" w:hanging="0"/>
        <w:jc w:val="start"/>
        <w:rPr>
          <w:rFonts w:ascii="Times New Roman" w:hAnsi="Times New Roman"/>
        </w:rPr>
      </w:pPr>
      <w:r>
        <w:rPr>
          <w:rFonts w:ascii="Times New Roman" w:hAnsi="Times New Roman"/>
        </w:rPr>
        <w:t xml:space="preserve">The orthodox rule for a Federal body proving an authority when sharing power with the original States, is upon the parliament whose powers are limited by a. special grant; </w:t>
      </w:r>
    </w:p>
    <w:p>
      <w:pPr>
        <w:pStyle w:val="Normal"/>
        <w:bidi w:val="0"/>
        <w:ind w:start="709" w:hanging="0"/>
        <w:jc w:val="start"/>
        <w:rPr>
          <w:rFonts w:ascii="Times New Roman" w:hAnsi="Times New Roman"/>
        </w:rPr>
      </w:pPr>
      <w:r>
        <w:rPr>
          <w:rFonts w:ascii="Times New Roman" w:hAnsi="Times New Roman"/>
          <w:i/>
          <w:iCs/>
        </w:rPr>
        <w:t>“</w:t>
      </w:r>
      <w:r>
        <w:rPr>
          <w:rFonts w:ascii="Times New Roman" w:hAnsi="Times New Roman"/>
          <w:i/>
          <w:iCs/>
        </w:rPr>
        <w:t xml:space="preserve">1. Every power alleged to be vested in the National government, or any organ thereof, must be affirmatively shown to have been granted. There is no presumption in favour of the existence of a power; on the contrary; the burden of proof lies on those who assert its existence, to point out something in the Constitution which, either expressly or by necessary implication, confers it”. </w:t>
      </w:r>
      <w:r>
        <w:rPr>
          <w:rFonts w:ascii="Times New Roman" w:hAnsi="Times New Roman"/>
        </w:rPr>
        <w:br/>
        <w:t xml:space="preserve">(Annotated Constitution — Quick &amp; Garran p.795) </w:t>
      </w:r>
    </w:p>
    <w:p>
      <w:pPr>
        <w:pStyle w:val="Normal"/>
        <w:bidi w:val="0"/>
        <w:ind w:start="0" w:hanging="0"/>
        <w:jc w:val="start"/>
        <w:rPr>
          <w:rFonts w:ascii="Times New Roman" w:hAnsi="Times New Roman"/>
        </w:rPr>
      </w:pPr>
      <w:r>
        <w:rPr>
          <w:rFonts w:ascii="Times New Roman" w:hAnsi="Times New Roman"/>
        </w:rPr>
        <w:t xml:space="preserve">This body politic, Commonwealth under the Crown, is the right of every one of the Australian people, and those addressed for fidelity in this document, shall cease and desist to the pretence of power and the above-referenced Bill shall be of no effect in the broader context expressed herein. </w:t>
      </w:r>
    </w:p>
    <w:p>
      <w:pPr>
        <w:pStyle w:val="Normal"/>
        <w:bidi w:val="0"/>
        <w:ind w:start="0" w:hanging="0"/>
        <w:jc w:val="start"/>
        <w:rPr>
          <w:rFonts w:ascii="Times New Roman" w:hAnsi="Times New Roman"/>
        </w:rPr>
      </w:pPr>
      <w:r>
        <w:rPr>
          <w:rFonts w:ascii="Times New Roman" w:hAnsi="Times New Roman"/>
        </w:rPr>
      </w:r>
    </w:p>
    <w:p>
      <w:pPr>
        <w:pStyle w:val="Normal"/>
        <w:bidi w:val="0"/>
        <w:ind w:start="709" w:hanging="0"/>
        <w:jc w:val="start"/>
        <w:rPr>
          <w:rFonts w:ascii="Times New Roman" w:hAnsi="Times New Roman"/>
        </w:rPr>
      </w:pPr>
      <w:r>
        <w:rPr>
          <w:rFonts w:ascii="Times New Roman" w:hAnsi="Times New Roman"/>
          <w:b/>
          <w:bCs/>
          <w:i/>
          <w:iCs/>
        </w:rPr>
        <w:t>“</w:t>
      </w:r>
      <w:r>
        <w:rPr>
          <w:rFonts w:ascii="Times New Roman" w:hAnsi="Times New Roman"/>
          <w:b/>
          <w:bCs/>
          <w:i/>
          <w:iCs/>
        </w:rPr>
        <w:t xml:space="preserve">33. And all laws” </w:t>
        <w:br/>
      </w:r>
      <w:r>
        <w:rPr>
          <w:rFonts w:ascii="Times New Roman" w:hAnsi="Times New Roman"/>
          <w:b w:val="false"/>
          <w:bCs w:val="false"/>
          <w:i/>
          <w:iCs/>
        </w:rPr>
        <w:t>“</w:t>
      </w:r>
      <w:r>
        <w:rPr>
          <w:rFonts w:ascii="Times New Roman" w:hAnsi="Times New Roman"/>
          <w:i/>
          <w:iCs/>
        </w:rPr>
        <w:t xml:space="preserve">No difficulty is suggested by the words, “and all laws made by the Parliament of the Commonwealth under the Constitution”. The words “under the Constitution” are words of limitation and qualification.” </w:t>
        <w:br/>
        <w:t>“</w:t>
      </w:r>
      <w:r>
        <w:rPr>
          <w:rFonts w:ascii="Times New Roman" w:hAnsi="Times New Roman"/>
          <w:i/>
          <w:iCs/>
          <w:u w:val="single"/>
        </w:rPr>
        <w:t>A law in excess of the authority conferred by the Constitution is no law; it is wholly void and inoperative; it confers no rights, it imposes no duties; it affords no protection.”</w:t>
      </w:r>
      <w:r>
        <w:rPr>
          <w:rFonts w:ascii="Times New Roman" w:hAnsi="Times New Roman"/>
          <w:i/>
          <w:iCs/>
        </w:rPr>
        <w:t xml:space="preserve">  </w:t>
        <w:br/>
        <w:t xml:space="preserve">“To be valid and binding they must be within the domain of jurisdiction mapped out and delimited in express terms, all by necessary implication, in the Constitution itself. </w:t>
      </w:r>
      <w:r>
        <w:rPr>
          <w:rFonts w:ascii="Times New Roman" w:hAnsi="Times New Roman"/>
          <w:i/>
          <w:iCs/>
          <w:u w:val="single"/>
        </w:rPr>
        <w:t>What is not so granted to the Parliament of the Commonwealth is denied to it</w:t>
      </w:r>
      <w:r>
        <w:rPr>
          <w:rFonts w:ascii="Times New Roman" w:hAnsi="Times New Roman"/>
          <w:i/>
          <w:iCs/>
        </w:rPr>
        <w:t xml:space="preserve">.”  </w:t>
      </w:r>
      <w:r>
        <w:rPr>
          <w:rFonts w:ascii="Times New Roman" w:hAnsi="Times New Roman"/>
        </w:rPr>
        <w:br/>
        <w:t xml:space="preserve">Annotated Constitution — Quick &amp; Garran Note 33 Page 346 </w:t>
      </w:r>
      <w:r>
        <w:rPr>
          <w:rFonts w:ascii="Times New Roman" w:hAnsi="Times New Roman"/>
          <w:b/>
          <w:bCs/>
          <w:i w:val="false"/>
          <w:iCs w:val="false"/>
          <w:u w:val="none"/>
        </w:rPr>
        <w:t>“And all laws”</w:t>
      </w:r>
      <w:r>
        <w:rPr>
          <w:rFonts w:ascii="Times New Roman" w:hAnsi="Times New Roman"/>
        </w:rPr>
        <w:t xml:space="preserve"> </w:t>
        <w:br/>
        <w:t xml:space="preserve">(underlined for emphasis) </w:t>
      </w:r>
    </w:p>
    <w:p>
      <w:pPr>
        <w:pStyle w:val="Normal"/>
        <w:bidi w:val="0"/>
        <w:ind w:start="0" w:hanging="0"/>
        <w:jc w:val="start"/>
        <w:rPr>
          <w:rFonts w:ascii="Times New Roman" w:hAnsi="Times New Roman"/>
        </w:rPr>
      </w:pPr>
      <w:r>
        <w:rPr>
          <w:rFonts w:ascii="Times New Roman" w:hAnsi="Times New Roman"/>
        </w:rPr>
        <w:br/>
        <w:t xml:space="preserve">The Constitution unavoidably deals in plain English language expressed so the people within the Commonwealth can understand the parameters of their law. The Prima Facie evidence as expressed above, raises serious concerns that the purported enactment and assent of the </w:t>
      </w:r>
      <w:r>
        <w:rPr>
          <w:rFonts w:ascii="Times New Roman" w:hAnsi="Times New Roman"/>
          <w:color w:val="C9211E"/>
        </w:rPr>
        <w:t>Export Control Amendment (Ending Live Sheep Exports by Sea) Bill 2024</w:t>
      </w:r>
      <w:r>
        <w:rPr>
          <w:rFonts w:ascii="Times New Roman" w:hAnsi="Times New Roman"/>
        </w:rPr>
        <w:t xml:space="preserve"> may not have fully complied with the mandatory requirements at Law. </w:t>
      </w:r>
    </w:p>
    <w:p>
      <w:pPr>
        <w:pStyle w:val="Normal"/>
        <w:bidi w:val="0"/>
        <w:ind w:start="0" w:hanging="0"/>
        <w:jc w:val="start"/>
        <w:rPr>
          <w:rFonts w:ascii="Times New Roman" w:hAnsi="Times New Roman"/>
        </w:rPr>
      </w:pPr>
      <w:r>
        <w:rPr>
          <w:rFonts w:ascii="Times New Roman" w:hAnsi="Times New Roman"/>
        </w:rPr>
        <w:t xml:space="preserve">The People of the Commonwealth await your answer in fulfilment of this executed Quo Warranto. </w:t>
      </w:r>
    </w:p>
    <w:p>
      <w:pPr>
        <w:pStyle w:val="Normal"/>
        <w:bidi w:val="0"/>
        <w:ind w:start="0" w:hanging="0"/>
        <w:jc w:val="start"/>
        <w:rPr>
          <w:rFonts w:ascii="Times New Roman" w:hAnsi="Times New Roman"/>
        </w:rPr>
      </w:pPr>
      <w:r>
        <w:rPr>
          <w:rFonts w:ascii="Times New Roman" w:hAnsi="Times New Roman"/>
        </w:rPr>
      </w:r>
    </w:p>
    <w:p>
      <w:pPr>
        <w:pStyle w:val="Normal"/>
        <w:bidi w:val="0"/>
        <w:ind w:start="0" w:hanging="0"/>
        <w:jc w:val="center"/>
        <w:rPr>
          <w:rFonts w:ascii="Times New Roman" w:hAnsi="Times New Roman"/>
        </w:rPr>
      </w:pPr>
      <w:r>
        <w:rPr>
          <w:rFonts w:ascii="Times New Roman" w:hAnsi="Times New Roman"/>
        </w:rPr>
        <w:t>God Save The King</w:t>
      </w:r>
    </w:p>
    <w:p>
      <w:pPr>
        <w:pStyle w:val="Normal"/>
        <w:bidi w:val="0"/>
        <w:ind w:start="0" w:hanging="0"/>
        <w:jc w:val="start"/>
        <w:rPr>
          <w:rFonts w:ascii="Times New Roman" w:hAnsi="Times New Roman"/>
        </w:rPr>
      </w:pPr>
      <w:r>
        <w:rPr>
          <w:rFonts w:ascii="Times New Roman" w:hAnsi="Times New Roman"/>
        </w:rPr>
        <w:br/>
        <w:t xml:space="preserve">This 10th day of July 2024 </w:t>
      </w:r>
    </w:p>
    <w:p>
      <w:pPr>
        <w:pStyle w:val="Normal"/>
        <w:bidi w:val="0"/>
        <w:ind w:start="0" w:hanging="0"/>
        <w:jc w:val="start"/>
        <w:rPr>
          <w:rFonts w:ascii="Times New Roman" w:hAnsi="Times New Roman"/>
        </w:rPr>
      </w:pPr>
      <w:r>
        <w:rPr/>
      </w:r>
    </w:p>
    <w:p>
      <w:pPr>
        <w:pStyle w:val="Normal"/>
        <w:bidi w:val="0"/>
        <w:ind w:start="0" w:hanging="0"/>
        <w:jc w:val="start"/>
        <w:rPr>
          <w:rFonts w:ascii="Times New Roman" w:hAnsi="Times New Roman"/>
        </w:rPr>
      </w:pPr>
      <w:r>
        <w:rPr>
          <w:rFonts w:ascii="Times New Roman" w:hAnsi="Times New Roman"/>
        </w:rPr>
        <w:t>Witnesses</w:t>
      </w:r>
    </w:p>
    <w:p>
      <w:pPr>
        <w:pStyle w:val="Normal"/>
        <w:bidi w:val="0"/>
        <w:ind w:start="0" w:hanging="0"/>
        <w:jc w:val="start"/>
        <w:rPr>
          <w:rFonts w:ascii="Times New Roman" w:hAnsi="Times New Roman"/>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roman"/>
    <w:pitch w:val="variable"/>
  </w:font>
</w:fonts>
</file>

<file path=word/settings.xml><?xml version="1.0" encoding="utf-8"?>
<w:settings xmlns:w="http://schemas.openxmlformats.org/wordprocessingml/2006/main">
  <w:zoom w:val="bestFit" w:percent="181"/>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AU"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en-AU"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34</TotalTime>
  <Application>LibreOffice/7.3.6.2$Windows_X86_64 LibreOffice_project/c28ca90fd6e1a19e189fc16c05f8f8924961e12e</Application>
  <AppVersion>15.0000</AppVersion>
  <Pages>2</Pages>
  <Words>1049</Words>
  <Characters>5566</Characters>
  <CharactersWithSpaces>6633</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2024-07-17T12:25:08Z</dcterms:created>
  <dc:creator/>
  <dc:description/>
  <dc:language>en-AU</dc:language>
  <cp:lastModifiedBy/>
  <dcterms:modified xsi:type="dcterms:W3CDTF">2024-07-18T12:23:22Z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